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smallCaps w:val="1"/>
          <w:color w:val="000000"/>
          <w:sz w:val="36"/>
          <w:szCs w:val="36"/>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36"/>
          <w:szCs w:val="36"/>
        </w:rPr>
      </w:pPr>
      <w:r w:rsidDel="00000000" w:rsidR="00000000" w:rsidRPr="00000000">
        <w:rPr>
          <w:rFonts w:ascii="Arial" w:cs="Arial" w:eastAsia="Arial" w:hAnsi="Arial"/>
          <w:color w:val="000000"/>
          <w:sz w:val="24"/>
          <w:szCs w:val="24"/>
          <w:highlight w:val="yellow"/>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subject to the detailed guidance below.]</w:t>
      </w:r>
      <w:r w:rsidDel="00000000" w:rsidR="00000000" w:rsidRPr="00000000">
        <w:rPr>
          <w:rFonts w:ascii="Arial" w:cs="Arial" w:eastAsia="Arial" w:hAnsi="Arial"/>
          <w:color w:val="000000"/>
          <w:sz w:val="36"/>
          <w:szCs w:val="36"/>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pPr>
      <w:r w:rsidDel="00000000" w:rsidR="00000000" w:rsidRPr="00000000">
        <w:rPr>
          <w:rFonts w:ascii="Arial" w:cs="Arial" w:eastAsia="Arial" w:hAnsi="Arial"/>
          <w:color w:val="000000"/>
          <w:sz w:val="24"/>
          <w:szCs w:val="24"/>
          <w:rtl w:val="0"/>
        </w:rPr>
        <w:t xml:space="preserve">In this Schedule, the following definitions shall apply:</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“Applicable Financial Indicators”</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ind w:firstLine="141"/>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means the financial indicators from Paragraph </w:t>
            </w:r>
            <w:r w:rsidDel="00000000" w:rsidR="00000000" w:rsidRPr="00000000">
              <w:rPr>
                <w:rFonts w:ascii="Arial" w:cs="Arial" w:eastAsia="Arial" w:hAnsi="Arial"/>
                <w:smallCaps w:val="1"/>
                <w:color w:val="000000"/>
                <w:sz w:val="24"/>
                <w:szCs w:val="24"/>
                <w:rtl w:val="0"/>
              </w:rPr>
              <w:t xml:space="preserve">5.1 </w:t>
            </w:r>
            <w:r w:rsidDel="00000000" w:rsidR="00000000" w:rsidRPr="00000000">
              <w:rPr>
                <w:rFonts w:ascii="Arial" w:cs="Arial" w:eastAsia="Arial" w:hAnsi="Arial"/>
                <w:color w:val="000000"/>
                <w:sz w:val="24"/>
                <w:szCs w:val="24"/>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644" w:hanging="50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board of directors;</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 Confirmation”</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Rule="auto"/>
              <w:ind w:left="644" w:hanging="50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Markets and Suppliers Team”</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Rule="auto"/>
              <w:ind w:left="644" w:hanging="50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ind w:left="644" w:hanging="50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“FDE Group”</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644" w:hanging="50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 and/or Key Sub-contractors</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644" w:hanging="50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events listed in Paragraph 3.1 of this Schedule;</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Remediation Plan”</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644" w:hanging="50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Indicators”</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Rule="auto"/>
              <w:ind w:left="644" w:hanging="50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ind w:left="644" w:hanging="50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Suppliers”</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ind w:left="644" w:hanging="50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644" w:hanging="50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 of this Schedule;</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ind w:left="644" w:hanging="50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suppliers to government listed at </w:t>
            </w:r>
            <w:hyperlink r:id="rId6">
              <w:r w:rsidDel="00000000" w:rsidR="00000000" w:rsidRPr="00000000">
                <w:rPr>
                  <w:rFonts w:ascii="Arial" w:cs="Arial" w:eastAsia="Arial" w:hAnsi="Arial"/>
                  <w:color w:val="000000"/>
                  <w:sz w:val="24"/>
                  <w:szCs w:val="24"/>
                  <w:rtl w:val="0"/>
                </w:rPr>
                <w:t xml:space="preserve">https://www.gov.uk/government/publications/strategic-suppliers</w:t>
              </w:r>
            </w:hyperlink>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pPr>
      <w:r w:rsidDel="00000000" w:rsidR="00000000" w:rsidRPr="00000000">
        <w:rPr>
          <w:rFonts w:ascii="Arial" w:cs="Arial" w:eastAsia="Arial" w:hAnsi="Arial"/>
          <w:color w:val="000000"/>
          <w:sz w:val="24"/>
          <w:szCs w:val="24"/>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pPr>
      <w:r w:rsidDel="00000000" w:rsidR="00000000" w:rsidRPr="00000000">
        <w:rPr>
          <w:rFonts w:ascii="Arial" w:cs="Arial" w:eastAsia="Arial" w:hAnsi="Arial"/>
          <w:color w:val="000000"/>
          <w:sz w:val="24"/>
          <w:szCs w:val="24"/>
          <w:rtl w:val="0"/>
        </w:rPr>
        <w:t xml:space="preserve">The terms of this Schedule shall survive: </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2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under the Call-Off Contract until the termination or expiry of the Call-Off Contract.</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Rule="auto"/>
        <w:ind w:left="936" w:hanging="1004"/>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7">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Warranties and duty to notify</w:t>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regularly monitor the credit ratings of each entity in the FDE Group with the Rating Agencies;</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Each report submitted by the Supplier pursuant to paragraph 2.3.2 shall:</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be a single report with separate sections for each of the FDE Group entities;</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include key financial and other supporting information (including any accounts data that has been relied on) as separate annexes;</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7">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Financial Distress events</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The following shall be Financial Distress Events:</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credit rating of an FDE Group entity dropping below the applicable Credit Rating Threshold;</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an FDE Group entity committing a material breach of covenant to its lenders;</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3F">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pPr>
      <w:r w:rsidDel="00000000" w:rsidR="00000000" w:rsidRPr="00000000">
        <w:rPr>
          <w:rFonts w:ascii="Arial" w:cs="Arial" w:eastAsia="Arial" w:hAnsi="Arial"/>
          <w:color w:val="000000"/>
          <w:sz w:val="24"/>
          <w:szCs w:val="24"/>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0">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pPr>
      <w:r w:rsidDel="00000000" w:rsidR="00000000" w:rsidRPr="00000000">
        <w:rPr>
          <w:rFonts w:ascii="Arial" w:cs="Arial" w:eastAsia="Arial" w:hAnsi="Arial"/>
          <w:color w:val="000000"/>
          <w:sz w:val="24"/>
          <w:szCs w:val="24"/>
          <w:rtl w:val="0"/>
        </w:rPr>
        <w:t xml:space="preserve">non-payment by an FDE Group entity of any financial indebtedness;</w:t>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pPr>
      <w:r w:rsidDel="00000000" w:rsidR="00000000" w:rsidRPr="00000000">
        <w:rPr>
          <w:rFonts w:ascii="Arial" w:cs="Arial" w:eastAsia="Arial" w:hAnsi="Arial"/>
          <w:color w:val="000000"/>
          <w:sz w:val="24"/>
          <w:szCs w:val="24"/>
          <w:rtl w:val="0"/>
        </w:rPr>
        <w:t xml:space="preserve">any financial indebtedness of an FDE Group entity becoming due as a result of an event of default;</w:t>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pPr>
      <w:r w:rsidDel="00000000" w:rsidR="00000000" w:rsidRPr="00000000">
        <w:rPr>
          <w:rFonts w:ascii="Arial" w:cs="Arial" w:eastAsia="Arial" w:hAnsi="Arial"/>
          <w:color w:val="000000"/>
          <w:sz w:val="24"/>
          <w:szCs w:val="24"/>
          <w:rtl w:val="0"/>
        </w:rPr>
        <w:t xml:space="preserve">the cancellation or suspension of any financial indebtedness in respect of an FDE Group entity; or</w:t>
      </w:r>
    </w:p>
    <w:p w:rsidR="00000000" w:rsidDel="00000000" w:rsidP="00000000" w:rsidRDefault="00000000" w:rsidRPr="00000000" w14:paraId="0000004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pPr>
      <w:r w:rsidDel="00000000" w:rsidR="00000000" w:rsidRPr="00000000">
        <w:rPr>
          <w:rFonts w:ascii="Arial" w:cs="Arial" w:eastAsia="Arial" w:hAnsi="Arial"/>
          <w:color w:val="000000"/>
          <w:sz w:val="24"/>
          <w:szCs w:val="24"/>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985"/>
        </w:tabs>
        <w:spacing w:after="120" w:before="120" w:lineRule="auto"/>
        <w:ind w:left="246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6">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Consequences of Financial Distress Events</w:t>
      </w:r>
      <w:r w:rsidDel="00000000" w:rsidR="00000000" w:rsidRPr="00000000">
        <w:rPr>
          <w:rtl w:val="0"/>
        </w:rPr>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rectify such late or non-payment; or</w:t>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The Supplier shall (and shall procure that any Monitored Supplier, the Guarantor and/or any relevant Key Sub-contractor shall):</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E">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pPr>
      <w:r w:rsidDel="00000000" w:rsidR="00000000" w:rsidRPr="00000000">
        <w:rPr>
          <w:rFonts w:ascii="Arial" w:cs="Arial" w:eastAsia="Arial" w:hAnsi="Arial"/>
          <w:color w:val="000000"/>
          <w:sz w:val="24"/>
          <w:szCs w:val="24"/>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F">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pPr>
      <w:r w:rsidDel="00000000" w:rsidR="00000000" w:rsidRPr="00000000">
        <w:rPr>
          <w:rFonts w:ascii="Arial" w:cs="Arial" w:eastAsia="Arial" w:hAnsi="Arial"/>
          <w:color w:val="000000"/>
          <w:sz w:val="24"/>
          <w:szCs w:val="24"/>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Following approval of the Financial Distress Remediation Plan by the Relevant Authority, the Supplier shall:</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on a regular basis (which shall not be less than fortnightly):</w:t>
      </w:r>
    </w:p>
    <w:p w:rsidR="00000000" w:rsidDel="00000000" w:rsidP="00000000" w:rsidRDefault="00000000" w:rsidRPr="00000000" w14:paraId="00000054">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pPr>
      <w:r w:rsidDel="00000000" w:rsidR="00000000" w:rsidRPr="00000000">
        <w:rPr>
          <w:rFonts w:ascii="Arial" w:cs="Arial" w:eastAsia="Arial" w:hAnsi="Arial"/>
          <w:color w:val="000000"/>
          <w:sz w:val="24"/>
          <w:szCs w:val="24"/>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5">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pPr>
      <w:r w:rsidDel="00000000" w:rsidR="00000000" w:rsidRPr="00000000">
        <w:rPr>
          <w:rFonts w:ascii="Arial" w:cs="Arial" w:eastAsia="Arial" w:hAnsi="Arial"/>
          <w:color w:val="000000"/>
          <w:sz w:val="24"/>
          <w:szCs w:val="24"/>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E">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Financial Indicators</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color w:val="000000"/>
          <w:sz w:val="24"/>
          <w:szCs w:val="24"/>
          <w:highlight w:val="yellow"/>
          <w:rtl w:val="0"/>
        </w:rPr>
        <w:t xml:space="preserv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Calculation</w:t>
            </w:r>
            <w:r w:rsidDel="00000000" w:rsidR="00000000" w:rsidRPr="00000000">
              <w:rPr>
                <w:rFonts w:ascii="Arial" w:cs="Arial" w:eastAsia="Arial" w:hAnsi="Arial"/>
                <w:b w:val="1"/>
                <w:color w:val="000000"/>
                <w:sz w:val="24"/>
                <w:szCs w:val="24"/>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w:t>
            </w:r>
          </w:p>
        </w:tc>
        <w:tc>
          <w:tcPr>
            <w:shd w:fill="d9d9d9" w:val="cle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bookmarkStart w:colFirst="0" w:colLast="0" w:name="_wbeajmdwr50" w:id="0"/>
            <w:bookmarkEnd w:id="0"/>
            <w:r w:rsidDel="00000000" w:rsidR="00000000" w:rsidRPr="00000000">
              <w:rPr>
                <w:rFonts w:ascii="Arial" w:cs="Arial" w:eastAsia="Arial" w:hAnsi="Arial"/>
                <w:b w:val="1"/>
                <w:color w:val="000000"/>
                <w:sz w:val="24"/>
                <w:szCs w:val="24"/>
                <w:rtl w:val="0"/>
              </w:rPr>
              <w:t xml:space="preserve">Monitoring and Reporting Frequency</w:t>
            </w:r>
          </w:p>
        </w:tc>
      </w:tr>
      <w:tr>
        <w:trPr>
          <w:cantSplit w:val="0"/>
          <w:tblHeader w:val="0"/>
        </w:trPr>
        <w:tc>
          <w:tcP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Operating Margin = Operating Profit / Revenue</w:t>
            </w:r>
          </w:p>
        </w:tc>
        <w:tc>
          <w:tcP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rtl w:val="0"/>
              </w:rPr>
              <w:t xml:space="preserve">&lt;5%</w:t>
            </w:r>
            <w:r w:rsidDel="00000000" w:rsidR="00000000" w:rsidRPr="00000000">
              <w:rPr>
                <w:rtl w:val="0"/>
              </w:rPr>
            </w:r>
          </w:p>
        </w:tc>
        <w:tc>
          <w:tcP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[Free Cash Flow to Net Debt Ratio]</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p>
        </w:tc>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[Free Cash Flow to Net Debt Ratio = Free Cash Flow / Net Debt]</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 = Net Debt / EBITDA]</w:t>
            </w:r>
          </w:p>
        </w:tc>
        <w:tc>
          <w:tcPr>
            <w:vAlign w:val="center"/>
          </w:tcPr>
          <w:p w:rsidR="00000000" w:rsidDel="00000000" w:rsidP="00000000" w:rsidRDefault="00000000" w:rsidRPr="00000000" w14:paraId="00000072">
            <w:pPr>
              <w:spacing w:after="200" w:before="100" w:lineRule="auto"/>
              <w:jc w:val="center"/>
              <w:rPr>
                <w:rFonts w:ascii="Arial" w:cs="Arial" w:eastAsia="Arial" w:hAnsi="Arial"/>
                <w:i w:val="1"/>
                <w:color w:val="7030a0"/>
                <w:sz w:val="24"/>
                <w:szCs w:val="24"/>
              </w:rPr>
            </w:pPr>
            <w:r w:rsidDel="00000000" w:rsidR="00000000" w:rsidRPr="00000000">
              <w:rPr>
                <w:rFonts w:ascii="Arial" w:cs="Arial" w:eastAsia="Arial" w:hAnsi="Arial"/>
                <w:i w:val="1"/>
                <w:sz w:val="24"/>
                <w:szCs w:val="24"/>
                <w:rtl w:val="0"/>
              </w:rPr>
              <w:t xml:space="preserve">&lt;5%</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OR</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rtl w:val="0"/>
              </w:rPr>
              <w:t xml:space="preserve">&gt;3.5</w:t>
            </w:r>
            <w:r w:rsidDel="00000000" w:rsidR="00000000" w:rsidRPr="00000000">
              <w:rPr>
                <w:rFonts w:ascii="Arial" w:cs="Arial" w:eastAsia="Arial" w:hAnsi="Arial"/>
                <w:i w:val="1"/>
                <w:color w:val="000000"/>
                <w:sz w:val="24"/>
                <w:szCs w:val="24"/>
                <w:rtl w:val="0"/>
              </w:rPr>
              <w:t xml:space="preserve"> times</w:t>
            </w:r>
          </w:p>
        </w:tc>
        <w:tc>
          <w:tcP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w:t>
            </w:r>
            <w:r w:rsidDel="00000000" w:rsidR="00000000" w:rsidRPr="00000000">
              <w:rPr>
                <w:rFonts w:ascii="Arial" w:cs="Arial" w:eastAsia="Arial" w:hAnsi="Arial"/>
                <w:i w:val="1"/>
                <w:color w:val="7030a0"/>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90 days of each accounting reference date based upon [Free Cash Flow / EBITDA] for the 12 months ending on, and Net Debt at, the relevant accounting reference date</w:t>
            </w:r>
          </w:p>
        </w:tc>
      </w:tr>
      <w:tr>
        <w:trPr>
          <w:cantSplit w:val="0"/>
          <w:tblHeader w:val="0"/>
        </w:trPr>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Debt + Net Pension Deficit to EBITDA Ratio = (Net Debt + Net Pension Deficit) / EBITDA]</w:t>
            </w:r>
          </w:p>
        </w:tc>
        <w:tc>
          <w:tcP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rtl w:val="0"/>
              </w:rPr>
              <w:t xml:space="preserve">&gt;5.0</w:t>
            </w:r>
            <w:r w:rsidDel="00000000" w:rsidR="00000000" w:rsidRPr="00000000">
              <w:rPr>
                <w:rFonts w:ascii="Arial" w:cs="Arial" w:eastAsia="Arial" w:hAnsi="Arial"/>
                <w:i w:val="1"/>
                <w:color w:val="000000"/>
                <w:sz w:val="24"/>
                <w:szCs w:val="24"/>
                <w:rtl w:val="0"/>
              </w:rPr>
              <w:t xml:space="preserve"> times</w:t>
            </w:r>
          </w:p>
        </w:tc>
        <w:tc>
          <w:tcP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w:t>
            </w:r>
            <w:r w:rsidDel="00000000" w:rsidR="00000000" w:rsidRPr="00000000">
              <w:rPr>
                <w:rFonts w:ascii="Arial" w:cs="Arial" w:eastAsia="Arial" w:hAnsi="Arial"/>
                <w:i w:val="1"/>
                <w:color w:val="f79646"/>
                <w:sz w:val="24"/>
                <w:szCs w:val="24"/>
                <w:rtl w:val="0"/>
              </w:rPr>
              <w:t xml:space="preserve"> </w:t>
            </w:r>
            <w:r w:rsidDel="00000000" w:rsidR="00000000" w:rsidRPr="00000000">
              <w:rPr>
                <w:rFonts w:ascii="Arial" w:cs="Arial" w:eastAsia="Arial" w:hAnsi="Arial"/>
                <w:i w:val="1"/>
                <w:color w:val="000000"/>
                <w:sz w:val="24"/>
                <w:szCs w:val="24"/>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Interest Paid Cover = Earnings Before Interest and Tax / Net Interest Paid]</w:t>
            </w:r>
          </w:p>
        </w:tc>
        <w:tc>
          <w:tcP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rtl w:val="0"/>
              </w:rPr>
              <w:t xml:space="preserve">&lt;3.0</w:t>
            </w:r>
            <w:r w:rsidDel="00000000" w:rsidR="00000000" w:rsidRPr="00000000">
              <w:rPr>
                <w:rFonts w:ascii="Arial" w:cs="Arial" w:eastAsia="Arial" w:hAnsi="Arial"/>
                <w:i w:val="1"/>
                <w:color w:val="000000"/>
                <w:sz w:val="24"/>
                <w:szCs w:val="24"/>
                <w:rtl w:val="0"/>
              </w:rPr>
              <w:t xml:space="preserve"> times</w:t>
            </w:r>
          </w:p>
        </w:tc>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w:t>
            </w:r>
            <w:r w:rsidDel="00000000" w:rsidR="00000000" w:rsidRPr="00000000">
              <w:rPr>
                <w:rFonts w:ascii="Arial" w:cs="Arial" w:eastAsia="Arial" w:hAnsi="Arial"/>
                <w:i w:val="1"/>
                <w:color w:val="8064a2"/>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90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[Acid Ratio = (Current Assets – Inventories) / Current Liabilities]</w:t>
            </w:r>
          </w:p>
        </w:tc>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rtl w:val="0"/>
              </w:rPr>
              <w:t xml:space="preserve">&lt;1.0</w:t>
            </w:r>
            <w:r w:rsidDel="00000000" w:rsidR="00000000" w:rsidRPr="00000000">
              <w:rPr>
                <w:rFonts w:ascii="Arial" w:cs="Arial" w:eastAsia="Arial" w:hAnsi="Arial"/>
                <w:i w:val="1"/>
                <w:color w:val="000000"/>
                <w:sz w:val="24"/>
                <w:szCs w:val="24"/>
                <w:rtl w:val="0"/>
              </w:rPr>
              <w:t xml:space="preserve"> times</w:t>
            </w:r>
          </w:p>
        </w:tc>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Asset Value = Net Assets]</w:t>
            </w:r>
          </w:p>
        </w:tc>
        <w:tc>
          <w:tcPr>
            <w:vAlign w:val="center"/>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w:t>
            </w:r>
            <w:r w:rsidDel="00000000" w:rsidR="00000000" w:rsidRPr="00000000">
              <w:rPr>
                <w:rFonts w:ascii="Arial" w:cs="Arial" w:eastAsia="Arial" w:hAnsi="Arial"/>
                <w:i w:val="1"/>
                <w:sz w:val="24"/>
                <w:szCs w:val="24"/>
                <w:rtl w:val="0"/>
              </w:rPr>
              <w:t xml:space="preserve">nil</w:t>
            </w:r>
            <w:r w:rsidDel="00000000" w:rsidR="00000000" w:rsidRPr="00000000">
              <w:rPr>
                <w:rFonts w:ascii="Arial" w:cs="Arial" w:eastAsia="Arial" w:hAnsi="Arial"/>
                <w:i w:val="1"/>
                <w:color w:val="000000"/>
                <w:sz w:val="24"/>
                <w:szCs w:val="24"/>
                <w:rtl w:val="0"/>
              </w:rPr>
              <w:t xml:space="preserve">]</w:t>
            </w:r>
          </w:p>
        </w:tc>
        <w:tc>
          <w:tcP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8</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 Ratio]</w:t>
            </w:r>
          </w:p>
        </w:tc>
        <w:tc>
          <w:tcPr>
            <w:vAlign w:val="center"/>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[Group Exposure / Gross Assets]</w:t>
            </w:r>
          </w:p>
        </w:tc>
        <w:tc>
          <w:tcPr>
            <w:vAlign w:val="center"/>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sz w:val="24"/>
                <w:szCs w:val="24"/>
                <w:rtl w:val="0"/>
              </w:rPr>
              <w:t xml:space="preserve">&gt;50</w:t>
            </w:r>
            <w:r w:rsidDel="00000000" w:rsidR="00000000" w:rsidRPr="00000000">
              <w:rPr>
                <w:rFonts w:ascii="Arial" w:cs="Arial" w:eastAsia="Arial" w:hAnsi="Arial"/>
                <w:i w:val="1"/>
                <w:color w:val="000000"/>
                <w:sz w:val="24"/>
                <w:szCs w:val="24"/>
                <w:rtl w:val="0"/>
              </w:rPr>
              <w:t xml:space="preserve">%</w:t>
            </w:r>
          </w:p>
        </w:tc>
        <w:tc>
          <w:tcPr>
            <w:vAlign w:val="center"/>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Monitored Suppliers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w:t>
            </w:r>
          </w:p>
        </w:tc>
        <w:tc>
          <w:tcPr>
            <w:shd w:fill="d9d9d9" w:val="clear"/>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Applicable Financial Indicators</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hmkxie5ha6h" w:id="1"/>
            <w:bookmarkEnd w:id="1"/>
            <w:r w:rsidDel="00000000" w:rsidR="00000000" w:rsidRPr="00000000">
              <w:rPr>
                <w:rFonts w:ascii="Arial" w:cs="Arial" w:eastAsia="Arial" w:hAnsi="Arial"/>
                <w:color w:val="000000"/>
                <w:sz w:val="24"/>
                <w:szCs w:val="24"/>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[Entity 2 e.g Group Member, Sub-contractor, Relevant Parent Company etc.]</w:t>
            </w:r>
          </w:p>
        </w:tc>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[3][4][5][6][7][8][etc..]</w:t>
            </w:r>
          </w:p>
        </w:tc>
      </w:tr>
      <w:tr>
        <w:trPr>
          <w:cantSplit w:val="0"/>
          <w:tblHeader w:val="0"/>
        </w:trPr>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[etc.]</w:t>
            </w:r>
          </w:p>
        </w:tc>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[etc.]</w:t>
            </w:r>
          </w:p>
        </w:tc>
      </w:tr>
    </w:tbl>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color w:val="000000"/>
        </w:rPr>
      </w:pPr>
      <w:r w:rsidDel="00000000" w:rsidR="00000000" w:rsidRPr="00000000">
        <w:rPr>
          <w:rtl w:val="0"/>
        </w:rPr>
      </w:r>
    </w:p>
    <w:p w:rsidR="00000000" w:rsidDel="00000000" w:rsidP="00000000" w:rsidRDefault="00000000" w:rsidRPr="00000000" w14:paraId="000000A0">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Termination rights</w:t>
      </w:r>
    </w:p>
    <w:p w:rsidR="00000000" w:rsidDel="00000000" w:rsidP="00000000" w:rsidRDefault="00000000" w:rsidRPr="00000000" w14:paraId="000000A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The Relevant Authority shall be entitled to terminate the Contract if:</w:t>
      </w:r>
    </w:p>
    <w:p w:rsidR="00000000" w:rsidDel="00000000" w:rsidP="00000000" w:rsidRDefault="00000000" w:rsidRPr="00000000" w14:paraId="000000A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2.3.3;</w:t>
      </w:r>
    </w:p>
    <w:p w:rsidR="00000000" w:rsidDel="00000000" w:rsidP="00000000" w:rsidRDefault="00000000" w:rsidRPr="00000000" w14:paraId="000000A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6">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Primacy of Credit Ratings</w:t>
      </w:r>
    </w:p>
    <w:p w:rsidR="00000000" w:rsidDel="00000000" w:rsidP="00000000" w:rsidRDefault="00000000" w:rsidRPr="00000000" w14:paraId="000000A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0A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A">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Board confirmation</w:t>
      </w:r>
    </w:p>
    <w:p w:rsidR="00000000" w:rsidDel="00000000" w:rsidP="00000000" w:rsidRDefault="00000000" w:rsidRPr="00000000" w14:paraId="000000A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If the Contract has been specified as a Critical Service Contract under Paragraph 1.1 of Call-Off Schedule 24 (Corporate Resolution Planning)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0A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B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B2">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3">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and Bradstreet</w:t>
      </w:r>
    </w:p>
    <w:p w:rsidR="00000000" w:rsidDel="00000000" w:rsidP="00000000" w:rsidRDefault="00000000" w:rsidRPr="00000000" w14:paraId="000000B4">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300" w:before="100" w:lineRule="auto"/>
        <w:rPr>
          <w:rFonts w:ascii="Arial" w:cs="Arial" w:eastAsia="Arial" w:hAnsi="Arial"/>
          <w:b w:val="1"/>
          <w:smallCaps w:val="1"/>
          <w:color w:val="000000"/>
          <w:sz w:val="24"/>
          <w:szCs w:val="24"/>
        </w:rPr>
      </w:pPr>
      <w:bookmarkStart w:colFirst="0" w:colLast="0" w:name="_7j2ew97pvtd" w:id="2"/>
      <w:bookmarkEnd w:id="2"/>
      <w:r w:rsidDel="00000000" w:rsidR="00000000" w:rsidRPr="00000000">
        <w:rPr>
          <w:rFonts w:ascii="Arial" w:cs="Arial" w:eastAsia="Arial" w:hAnsi="Arial"/>
          <w:b w:val="1"/>
          <w:color w:val="000000"/>
          <w:sz w:val="24"/>
          <w:szCs w:val="24"/>
          <w:rtl w:val="0"/>
        </w:rPr>
        <w:t xml:space="preserve">Annex 2</w:t>
      </w:r>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6">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B7">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B8">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0B9">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45</w:t>
            </w:r>
          </w:p>
        </w:tc>
      </w:tr>
      <w:tr>
        <w:trPr>
          <w:cantSplit w:val="0"/>
          <w:tblHeader w:val="0"/>
        </w:trPr>
        <w:tc>
          <w:tcPr>
            <w:shd w:fill="ffffff" w:val="clear"/>
          </w:tcPr>
          <w:p w:rsidR="00000000" w:rsidDel="00000000" w:rsidP="00000000" w:rsidRDefault="00000000" w:rsidRPr="00000000" w14:paraId="000000BA">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Guarantor</w:t>
            </w:r>
          </w:p>
        </w:tc>
        <w:tc>
          <w:tcPr>
            <w:shd w:fill="ffffff" w:val="clear"/>
          </w:tcPr>
          <w:p w:rsidR="00000000" w:rsidDel="00000000" w:rsidP="00000000" w:rsidRDefault="00000000" w:rsidRPr="00000000" w14:paraId="000000BB">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45</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0BC">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highlight w:val="yellow"/>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BD">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F">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3: Calculation methodology for Financial Indicators</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i w:val="1"/>
          <w:color w:val="000000"/>
          <w:sz w:val="24"/>
          <w:szCs w:val="24"/>
        </w:rPr>
      </w:pPr>
      <w:bookmarkStart w:colFirst="0" w:colLast="0" w:name="_io68ln158k3j" w:id="3"/>
      <w:bookmarkEnd w:id="3"/>
      <w:r w:rsidDel="00000000" w:rsidR="00000000" w:rsidRPr="00000000">
        <w:rPr>
          <w:rFonts w:ascii="Arial" w:cs="Arial" w:eastAsia="Arial" w:hAnsi="Arial"/>
          <w:b w:val="1"/>
          <w:i w:val="1"/>
          <w:color w:val="000000"/>
          <w:sz w:val="24"/>
          <w:szCs w:val="24"/>
          <w:highlight w:val="yellow"/>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General methodology</w:t>
      </w:r>
    </w:p>
    <w:p w:rsidR="00000000" w:rsidDel="00000000" w:rsidP="00000000" w:rsidRDefault="00000000" w:rsidRPr="00000000" w14:paraId="000000C4">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Terminology</w:t>
      </w:r>
      <w:r w:rsidDel="00000000" w:rsidR="00000000" w:rsidRPr="00000000">
        <w:rPr>
          <w:rFonts w:ascii="Arial" w:cs="Arial" w:eastAsia="Arial" w:hAnsi="Arial"/>
          <w:color w:val="000000"/>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5">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bookmarkStart w:colFirst="0" w:colLast="0" w:name="_ariqwh8lk3r8" w:id="4"/>
      <w:bookmarkEnd w:id="4"/>
      <w:r w:rsidDel="00000000" w:rsidR="00000000" w:rsidRPr="00000000">
        <w:rPr>
          <w:rFonts w:ascii="Arial" w:cs="Arial" w:eastAsia="Arial" w:hAnsi="Arial"/>
          <w:b w:val="1"/>
          <w:i w:val="1"/>
          <w:color w:val="000000"/>
          <w:sz w:val="24"/>
          <w:szCs w:val="24"/>
          <w:rtl w:val="0"/>
        </w:rPr>
        <w:t xml:space="preserve">Groups</w:t>
      </w:r>
      <w:r w:rsidDel="00000000" w:rsidR="00000000" w:rsidRPr="00000000">
        <w:rPr>
          <w:rFonts w:ascii="Arial" w:cs="Arial" w:eastAsia="Arial" w:hAnsi="Arial"/>
          <w:color w:val="000000"/>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6">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Foreign currency conversion</w:t>
      </w:r>
      <w:r w:rsidDel="00000000" w:rsidR="00000000" w:rsidRPr="00000000">
        <w:rPr>
          <w:rFonts w:ascii="Arial" w:cs="Arial" w:eastAsia="Arial" w:hAnsi="Arial"/>
          <w:color w:val="000000"/>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7">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Treatment of non-underlying items</w:t>
      </w:r>
      <w:r w:rsidDel="00000000" w:rsidR="00000000" w:rsidRPr="00000000">
        <w:rPr>
          <w:rFonts w:ascii="Arial" w:cs="Arial" w:eastAsia="Arial" w:hAnsi="Arial"/>
          <w:color w:val="000000"/>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Methodology</w:t>
            </w:r>
          </w:p>
        </w:tc>
      </w:tr>
      <w:tr>
        <w:trPr>
          <w:cantSplit w:val="0"/>
          <w:tblHeader w:val="0"/>
        </w:trPr>
        <w:tc>
          <w:tcPr>
            <w:vAlign w:val="center"/>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Figures for Operating Profit and Revenue should exclude the entity’s share of the results of any joint ventures or Associates.</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Free Cash Flow to Net Debt Ratio</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p>
        </w:tc>
        <w:tc>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Free Cash Flow</w:t>
            </w:r>
            <w:r w:rsidDel="00000000" w:rsidR="00000000" w:rsidRPr="00000000">
              <w:rPr>
                <w:rFonts w:ascii="Arial" w:cs="Arial" w:eastAsia="Arial" w:hAnsi="Arial"/>
                <w:i w:val="1"/>
                <w:color w:val="000000"/>
                <w:sz w:val="24"/>
                <w:szCs w:val="24"/>
                <w:rtl w:val="0"/>
              </w:rPr>
              <w:t xml:space="preserve">” = Net Cash Flow from Operating Activities – Capital Expenditure</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Capital Expenditure</w:t>
            </w:r>
            <w:r w:rsidDel="00000000" w:rsidR="00000000" w:rsidRPr="00000000">
              <w:rPr>
                <w:rFonts w:ascii="Arial" w:cs="Arial" w:eastAsia="Arial" w:hAnsi="Arial"/>
                <w:i w:val="1"/>
                <w:color w:val="000000"/>
                <w:sz w:val="24"/>
                <w:szCs w:val="24"/>
                <w:rtl w:val="0"/>
              </w:rPr>
              <w:t xml:space="preserve">” = Purchase of property, plant &amp; equipment + purchase of intangible assets</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Cash Flow from Operating Activities</w:t>
            </w:r>
            <w:r w:rsidDel="00000000" w:rsidR="00000000" w:rsidRPr="00000000">
              <w:rPr>
                <w:rFonts w:ascii="Arial" w:cs="Arial" w:eastAsia="Arial" w:hAnsi="Arial"/>
                <w:color w:val="000000"/>
                <w:sz w:val="24"/>
                <w:szCs w:val="24"/>
                <w:rtl w:val="0"/>
              </w:rPr>
              <w:t xml:space="preserve">: This should be stated after deduction of interest and tax paid.</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Capital expenditure</w:t>
            </w:r>
            <w:r w:rsidDel="00000000" w:rsidR="00000000" w:rsidRPr="00000000">
              <w:rPr>
                <w:rFonts w:ascii="Arial" w:cs="Arial" w:eastAsia="Arial" w:hAnsi="Arial"/>
                <w:color w:val="000000"/>
                <w:sz w:val="24"/>
                <w:szCs w:val="24"/>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w:t>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bookmarkStart w:colFirst="0" w:colLast="0" w:name="_kgdk23pgx92h" w:id="5"/>
            <w:bookmarkEnd w:id="5"/>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color w:val="000000"/>
                <w:sz w:val="24"/>
                <w:szCs w:val="24"/>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Pension Deficit</w:t>
            </w:r>
            <w:r w:rsidDel="00000000" w:rsidR="00000000" w:rsidRPr="00000000">
              <w:rPr>
                <w:rFonts w:ascii="Arial" w:cs="Arial" w:eastAsia="Arial" w:hAnsi="Arial"/>
                <w:i w:val="1"/>
                <w:color w:val="000000"/>
                <w:sz w:val="24"/>
                <w:szCs w:val="24"/>
                <w:rtl w:val="0"/>
              </w:rPr>
              <w:t xml:space="preserve">” = Retirement Benefit Obligations – Retirement Benefit Assets</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sz w:val="24"/>
                <w:szCs w:val="24"/>
                <w:rtl w:val="0"/>
              </w:rPr>
              <w:t xml:space="preserve">not</w:t>
            </w:r>
            <w:r w:rsidDel="00000000" w:rsidR="00000000" w:rsidRPr="00000000">
              <w:rPr>
                <w:rFonts w:ascii="Arial" w:cs="Arial" w:eastAsia="Arial" w:hAnsi="Arial"/>
                <w:color w:val="000000"/>
                <w:sz w:val="24"/>
                <w:szCs w:val="24"/>
                <w:rtl w:val="0"/>
              </w:rPr>
              <w:t xml:space="preserve"> non-designated hedges). Borrowings should also include balances owed to other group members.</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Pension Deficit</w:t>
            </w:r>
            <w:r w:rsidDel="00000000" w:rsidR="00000000" w:rsidRPr="00000000">
              <w:rPr>
                <w:rFonts w:ascii="Arial" w:cs="Arial" w:eastAsia="Arial" w:hAnsi="Arial"/>
                <w:color w:val="000000"/>
                <w:sz w:val="24"/>
                <w:szCs w:val="24"/>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 Net Pension Deficit’ is negative, the relevant Financial Target Threshold should be treated as having been met.</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mn6zv0mxy72h" w:id="6"/>
            <w:bookmarkEnd w:id="6"/>
            <w:r w:rsidDel="00000000" w:rsidR="00000000" w:rsidRPr="00000000">
              <w:rPr>
                <w:rFonts w:ascii="Arial" w:cs="Arial" w:eastAsia="Arial" w:hAnsi="Arial"/>
                <w:color w:val="000000"/>
                <w:sz w:val="24"/>
                <w:szCs w:val="24"/>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Earnings Before Interest and Tax</w:t>
            </w:r>
            <w:r w:rsidDel="00000000" w:rsidR="00000000" w:rsidRPr="00000000">
              <w:rPr>
                <w:rFonts w:ascii="Arial" w:cs="Arial" w:eastAsia="Arial" w:hAnsi="Arial"/>
                <w:i w:val="1"/>
                <w:color w:val="000000"/>
                <w:sz w:val="24"/>
                <w:szCs w:val="24"/>
                <w:rtl w:val="0"/>
              </w:rPr>
              <w:t xml:space="preserve">” = Operating profit</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Interest Paid</w:t>
            </w:r>
            <w:r w:rsidDel="00000000" w:rsidR="00000000" w:rsidRPr="00000000">
              <w:rPr>
                <w:rFonts w:ascii="Arial" w:cs="Arial" w:eastAsia="Arial" w:hAnsi="Arial"/>
                <w:i w:val="1"/>
                <w:color w:val="000000"/>
                <w:sz w:val="24"/>
                <w:szCs w:val="24"/>
                <w:rtl w:val="0"/>
              </w:rPr>
              <w:t xml:space="preserve">” = Interest paid – Interest received</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Interest received and interest paid should be shown on the face of the Cash Flow statement.</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8</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Exposure Ratio</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Group Exposure</w:t>
            </w:r>
            <w:r w:rsidDel="00000000" w:rsidR="00000000" w:rsidRPr="00000000">
              <w:rPr>
                <w:rFonts w:ascii="Arial" w:cs="Arial" w:eastAsia="Arial" w:hAnsi="Arial"/>
                <w:i w:val="1"/>
                <w:color w:val="000000"/>
                <w:sz w:val="24"/>
                <w:szCs w:val="24"/>
                <w:rtl w:val="0"/>
              </w:rPr>
              <w:t xml:space="preserve">” = Balances owed by Group Undertakings + Contingent liabilities assumed in support of Group Undertakings</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Gross Assets</w:t>
            </w:r>
            <w:r w:rsidDel="00000000" w:rsidR="00000000" w:rsidRPr="00000000">
              <w:rPr>
                <w:rFonts w:ascii="Arial" w:cs="Arial" w:eastAsia="Arial" w:hAnsi="Arial"/>
                <w:i w:val="1"/>
                <w:color w:val="000000"/>
                <w:sz w:val="24"/>
                <w:szCs w:val="24"/>
                <w:rtl w:val="0"/>
              </w:rPr>
              <w:t xml:space="preserve">” = Fixed Assets + Current Assets</w:t>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Group Exposure</w:t>
            </w:r>
            <w:r w:rsidDel="00000000" w:rsidR="00000000" w:rsidRPr="00000000">
              <w:rPr>
                <w:rFonts w:ascii="Arial" w:cs="Arial" w:eastAsia="Arial" w:hAnsi="Arial"/>
                <w:color w:val="000000"/>
                <w:sz w:val="24"/>
                <w:szCs w:val="24"/>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Gross Assets</w:t>
            </w:r>
            <w:r w:rsidDel="00000000" w:rsidR="00000000" w:rsidRPr="00000000">
              <w:rPr>
                <w:rFonts w:ascii="Arial" w:cs="Arial" w:eastAsia="Arial" w:hAnsi="Arial"/>
                <w:color w:val="000000"/>
                <w:sz w:val="24"/>
                <w:szCs w:val="24"/>
                <w:rtl w:val="0"/>
              </w:rPr>
              <w:t xml:space="preserve">: Both Fixed assets and Current assets are shown on the face of the Balance Sheet</w:t>
            </w:r>
          </w:p>
        </w:tc>
      </w:tr>
    </w:tbl>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300" w:before="100" w:lineRule="auto"/>
        <w:jc w:val="left"/>
        <w:rPr>
          <w:rFonts w:ascii="Arial" w:cs="Arial" w:eastAsia="Arial" w:hAnsi="Arial"/>
          <w:b w:val="1"/>
          <w:smallCaps w:val="1"/>
          <w:color w:val="000000"/>
          <w:sz w:val="24"/>
          <w:szCs w:val="24"/>
        </w:rPr>
      </w:pPr>
      <w:bookmarkStart w:colFirst="0" w:colLast="0" w:name="_5e6o39c4qo3b" w:id="7"/>
      <w:bookmarkEnd w:id="7"/>
      <w:r w:rsidDel="00000000" w:rsidR="00000000" w:rsidRPr="00000000">
        <w:rPr>
          <w:rFonts w:ascii="Arial" w:cs="Arial" w:eastAsia="Arial" w:hAnsi="Arial"/>
          <w:b w:val="1"/>
          <w:smallCaps w:val="1"/>
          <w:color w:val="000000"/>
          <w:sz w:val="24"/>
          <w:szCs w:val="24"/>
          <w:rtl w:val="0"/>
        </w:rPr>
        <w:t xml:space="preserve">Annex 4: Board Confirmation</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Name:</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 Number:</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bookmarkStart w:colFirst="0" w:colLast="0" w:name="_fflwzdode5bt" w:id="8"/>
      <w:bookmarkEnd w:id="8"/>
      <w:r w:rsidDel="00000000" w:rsidR="00000000" w:rsidRPr="00000000">
        <w:rPr>
          <w:rFonts w:ascii="Arial" w:cs="Arial" w:eastAsia="Arial" w:hAnsi="Arial"/>
          <w:color w:val="000000"/>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color w:val="000000"/>
          <w:sz w:val="24"/>
          <w:szCs w:val="24"/>
          <w:rtl w:val="0"/>
        </w:rPr>
        <w:t xml:space="preserve">Financial Distress</w:t>
      </w:r>
      <w:r w:rsidDel="00000000" w:rsidR="00000000" w:rsidRPr="00000000">
        <w:rPr>
          <w:rFonts w:ascii="Arial" w:cs="Arial" w:eastAsia="Arial" w:hAnsi="Arial"/>
          <w:color w:val="000000"/>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2E">
      <w:pPr>
        <w:numPr>
          <w:ilvl w:val="3"/>
          <w:numId w:val="1"/>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2F">
      <w:pPr>
        <w:numPr>
          <w:ilvl w:val="3"/>
          <w:numId w:val="1"/>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behalf of the Board of Directors:</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Chair</w:t>
        <w:tab/>
        <w:tab/>
        <w:t xml:space="preserve">…………………………………</w:t>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tab/>
        <w:tab/>
        <w:t xml:space="preserve">…………………………………</w:t>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3A">
      <w:pPr>
        <w:spacing w:after="200" w:line="276" w:lineRule="auto"/>
        <w:jc w:val="left"/>
        <w:rPr>
          <w:rFonts w:ascii="Arial" w:cs="Arial" w:eastAsia="Arial" w:hAnsi="Arial"/>
          <w:sz w:val="24"/>
          <w:szCs w:val="24"/>
        </w:rPr>
      </w:pPr>
      <w:bookmarkStart w:colFirst="0" w:colLast="0" w:name="_p2alu1yx8ovm" w:id="9"/>
      <w:bookmarkEnd w:id="9"/>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w:t>
      <w:tab/>
      <w:t xml:space="preserve">                                           </w:t>
    </w:r>
  </w:p>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0">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2">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2024</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rPr>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rPr>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strategic-suppliers"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iManageFooter">
    <vt:lpwstr>#109517348v2&lt;L_LIVE_EMEA1&gt; - PPA v3.0 (Joint Schedule 07  - Financial Difficulties v.3.6)</vt:lpwstr>
  </property>
</Properties>
</file>